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1D0228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301A7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44BAB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44BAB">
              <w:rPr>
                <w:b/>
                <w:color w:val="000000"/>
                <w:sz w:val="26"/>
                <w:szCs w:val="26"/>
              </w:rPr>
              <w:t>2235492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244BAB" w:rsidRPr="00244BAB">
        <w:rPr>
          <w:b/>
          <w:sz w:val="26"/>
          <w:szCs w:val="26"/>
        </w:rPr>
        <w:t>Т-0,66 600/5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244BAB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561" w:rsidRDefault="00B65561">
      <w:r>
        <w:separator/>
      </w:r>
    </w:p>
  </w:endnote>
  <w:endnote w:type="continuationSeparator" w:id="0">
    <w:p w:rsidR="00B65561" w:rsidRDefault="00B6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561" w:rsidRDefault="00B65561">
      <w:r>
        <w:separator/>
      </w:r>
    </w:p>
  </w:footnote>
  <w:footnote w:type="continuationSeparator" w:id="0">
    <w:p w:rsidR="00B65561" w:rsidRDefault="00B65561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0228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1D2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725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56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C72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5BAF-3720-4EEF-96AB-D66A12CD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2014-07-15T13:59:00Z</dcterms:created>
  <dcterms:modified xsi:type="dcterms:W3CDTF">2014-07-15T13:59:00Z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