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36" w:rsidRPr="00333D36" w:rsidRDefault="00333D36" w:rsidP="00333D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9770" w:type="dxa"/>
        <w:tblCellSpacing w:w="0" w:type="dxa"/>
        <w:tblBorders>
          <w:left w:val="single" w:sz="6" w:space="0" w:color="1C386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85"/>
      </w:tblGrid>
      <w:tr w:rsidR="00333D36" w:rsidRPr="00333D36" w:rsidTr="00333D36">
        <w:trPr>
          <w:trHeight w:val="31680"/>
          <w:tblCellSpacing w:w="0" w:type="dxa"/>
        </w:trPr>
        <w:tc>
          <w:tcPr>
            <w:tcW w:w="19110" w:type="dxa"/>
            <w:shd w:val="clear" w:color="auto" w:fill="FFFFFF"/>
            <w:tcMar>
              <w:top w:w="60" w:type="dxa"/>
              <w:left w:w="330" w:type="dxa"/>
              <w:bottom w:w="0" w:type="dxa"/>
              <w:right w:w="330" w:type="dxa"/>
            </w:tcMar>
            <w:hideMark/>
          </w:tcPr>
          <w:tbl>
            <w:tblPr>
              <w:tblW w:w="191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10"/>
            </w:tblGrid>
            <w:tr w:rsidR="00333D36" w:rsidRPr="00333D36">
              <w:trPr>
                <w:tblCellSpacing w:w="0" w:type="dxa"/>
              </w:trPr>
              <w:tc>
                <w:tcPr>
                  <w:tcW w:w="19110" w:type="dxa"/>
                  <w:hideMark/>
                </w:tcPr>
                <w:tbl>
                  <w:tblPr>
                    <w:tblW w:w="1911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110"/>
                  </w:tblGrid>
                  <w:tr w:rsidR="00333D36" w:rsidRPr="00333D36" w:rsidTr="00333D3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180" w:type="dxa"/>
                          <w:bottom w:w="0" w:type="dxa"/>
                          <w:right w:w="270" w:type="dxa"/>
                        </w:tcMar>
                        <w:hideMark/>
                      </w:tcPr>
                      <w:p w:rsidR="00027B5D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20"/>
                            <w:szCs w:val="20"/>
                            <w:lang w:eastAsia="ru-RU"/>
                          </w:rPr>
                          <w:t xml:space="preserve">РАСПРЕДЕЛИТЕЛЬНОЕ УСТРОЙСТВО СО СТОРОНЫ НИЗШЕГО НАПРЯЖЕНИЯ РУНН </w:t>
                        </w:r>
                        <w:proofErr w:type="gramStart"/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20"/>
                            <w:szCs w:val="20"/>
                            <w:lang w:eastAsia="ru-RU"/>
                          </w:rPr>
                          <w:t>ТУ РБ</w:t>
                        </w:r>
                        <w:proofErr w:type="gramEnd"/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20"/>
                            <w:szCs w:val="20"/>
                            <w:lang w:eastAsia="ru-RU"/>
                          </w:rPr>
                          <w:t xml:space="preserve"> 00457969.016-97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 xml:space="preserve">Распределительное устройство со стороны низшего напряжения (РУНН) является составной частью комплектной трансформаторной подстанции (КТП) и может использоваться </w:t>
                        </w:r>
                      </w:p>
                      <w:p w:rsidR="00027B5D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как самостоятельное изделие в составе мачтовых трансформаторных подстанций.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РУНН представляет собой шкаф со встроенными аппаратами для коммутации, управления, измерения и защиты.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 xml:space="preserve">РУНН предназначено для приёма и учёта электрической энергии трёхфазного переменного тока частотой 50 Гц напряжением до 0,4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и электроснабжения потребителей </w:t>
                        </w:r>
                      </w:p>
                      <w:p w:rsidR="00027B5D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народного хозяйства.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 xml:space="preserve">РУНН мощностью до 160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-А имеет три фидера отходящих линий трёхфазного переменного тока частотой 50 Гц напряжением до 0,4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и фидер линии наружного 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освещения напряжением до 0,4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трёхфазного переменного тока частотой 50 Гц, 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РУНН мощностью 250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-А – четыре фидера отходящих линий и фидер линии наружного освещения.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РУНН имеет следующие виды защит: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от перегрузки и междуфазных коротких замыканий на отходящих линиях и защиты линий наружного освещения устанавливаются автоматические выключатели;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от однофазных коротких замыканий устанавливаются токовые реле;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от атмосферных перенапряжений устанавливаются низковольтные разрядники.</w:t>
                        </w:r>
                      </w:p>
                      <w:p w:rsidR="00027B5D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Конструкция РУНН мощностью до 160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-А предусматривает использование общего учёта электроэнергии или учёта электроэнергии линии наружного освещения </w:t>
                        </w:r>
                        <w:proofErr w:type="gram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по</w:t>
                        </w:r>
                        <w:proofErr w:type="gram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требованию заказчика,</w:t>
                        </w:r>
                      </w:p>
                      <w:p w:rsidR="00027B5D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РУНН мощностью 250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-А - использование общего учёта электроэнергии и установку РУНН на железобетонной опоре.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Вводы и выводы РУНН – воздушные, снизу шкафа.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Основные параметры РУНН приведены в </w:t>
                        </w:r>
                        <w:hyperlink r:id="rId6" w:anchor="t1" w:history="1">
                          <w:r w:rsidRPr="00333D36">
                            <w:rPr>
                              <w:rFonts w:ascii="Arial" w:eastAsia="Times New Roman" w:hAnsi="Arial" w:cs="Arial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таблице 1</w:t>
                          </w:r>
                        </w:hyperlink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Габаритные и установочные размеры РУНН приведены на </w:t>
                        </w:r>
                        <w:hyperlink r:id="rId7" w:anchor="r1" w:history="1">
                          <w:r w:rsidRPr="00333D36">
                            <w:rPr>
                              <w:rFonts w:ascii="Arial" w:eastAsia="Times New Roman" w:hAnsi="Arial" w:cs="Arial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рисунке 1</w:t>
                          </w:r>
                        </w:hyperlink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, схема электрическая принципиальная РУНН мощностью до 160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-А - на </w:t>
                        </w:r>
                        <w:hyperlink r:id="rId8" w:anchor="r2" w:history="1">
                          <w:r w:rsidRPr="00333D36">
                            <w:rPr>
                              <w:rFonts w:ascii="Arial" w:eastAsia="Times New Roman" w:hAnsi="Arial" w:cs="Arial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рисунке 2</w:t>
                          </w:r>
                        </w:hyperlink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РУНН мощностью 250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-А –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на</w:t>
                        </w:r>
                        <w:hyperlink r:id="rId9" w:anchor="r3" w:history="1">
                          <w:r w:rsidRPr="00333D36">
                            <w:rPr>
                              <w:rFonts w:ascii="Arial" w:eastAsia="Times New Roman" w:hAnsi="Arial" w:cs="Arial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>рисунке</w:t>
                          </w:r>
                          <w:proofErr w:type="spellEnd"/>
                          <w:r w:rsidRPr="00333D36">
                            <w:rPr>
                              <w:rFonts w:ascii="Arial" w:eastAsia="Times New Roman" w:hAnsi="Arial" w:cs="Arial"/>
                              <w:color w:val="0000FF"/>
                              <w:sz w:val="20"/>
                              <w:szCs w:val="20"/>
                              <w:lang w:eastAsia="ru-RU"/>
                            </w:rPr>
                            <w:t xml:space="preserve"> 3</w:t>
                          </w:r>
                        </w:hyperlink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 xml:space="preserve">Степень защиты РУНН - IP43 по ГОСТ 14254-96. 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Вид климатического исполнения - У</w:t>
                        </w:r>
                        <w:proofErr w:type="gram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proofErr w:type="gram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по ГОСТ 15150-69.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Условия эксплуатации: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наибольшая высота над уровнем моря - не более 1000 м;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рабочий диапазон температуры окружающей среды: </w:t>
                        </w:r>
                        <w:proofErr w:type="gram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от</w:t>
                        </w:r>
                        <w:proofErr w:type="gram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минус 45 до плюс 40 0С;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тип атмосферы - II по ГОСТ 15150-69;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окружающая среда - не содержащая токопроводящей пыли, агрессивных газов и паров в концентрациях, снижающих параметры РУНН в недопустимых пределах;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РУНН не предназначены для установки и эксплуатации в сейсмоопасных, взрывоопасных и пожароопасных зонах.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20"/>
                            <w:szCs w:val="20"/>
                            <w:lang w:eastAsia="ru-RU"/>
                          </w:rPr>
                          <w:t>Структура условного обозначения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0"/>
                            <w:lang w:eastAsia="ru-RU"/>
                          </w:rPr>
                          <w:drawing>
                            <wp:inline distT="0" distB="0" distL="0" distR="0" wp14:anchorId="3B3ACD52" wp14:editId="59E3961C">
                              <wp:extent cx="3448050" cy="1285875"/>
                              <wp:effectExtent l="0" t="0" r="0" b="9525"/>
                              <wp:docPr id="2" name="Рисунок 2" descr="http://www.energo.gomel.by/products_pictures/runn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energo.gomel.by/products_pictures/runn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48050" cy="1285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Пример записи условного обозначения РУНН при его заказе: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 xml:space="preserve">РУНН мощностью 100 </w:t>
                        </w:r>
                        <w:proofErr w:type="spell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-А, вид климатического исполнения У</w:t>
                        </w:r>
                        <w:proofErr w:type="gramStart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proofErr w:type="gramEnd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:</w:t>
                        </w:r>
                      </w:p>
                      <w:p w:rsidR="00333D36" w:rsidRPr="00333D36" w:rsidRDefault="00333D36" w:rsidP="00333D36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Courier New" w:eastAsia="Times New Roman" w:hAnsi="Courier New" w:cs="Courier New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РУНН-100 У</w:t>
                        </w:r>
                        <w:proofErr w:type="gramStart"/>
                        <w:r w:rsidRPr="00333D36">
                          <w:rPr>
                            <w:rFonts w:ascii="Courier New" w:eastAsia="Times New Roman" w:hAnsi="Courier New" w:cs="Courier New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proofErr w:type="gramEnd"/>
                        <w:r w:rsidRPr="00333D36">
                          <w:rPr>
                            <w:rFonts w:ascii="Courier New" w:eastAsia="Times New Roman" w:hAnsi="Courier New" w:cs="Courier New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ТУ РБ 00457969.016-97.</w:t>
                        </w:r>
                      </w:p>
                      <w:p w:rsidR="00027B5D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Средний срок службы РУНН - 25 лет.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Гарантийный срок эксплуатации - два года со дня ввода РУНН в эксплуатацию, но не более 30 месяцев со дня отгрузки, при соблюдении условий транспортирования,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хранения и эксплуатации. 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  <w:t>В комплект поставки входят: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шкаф РУНН;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ключ;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паспорт;</w:t>
                        </w:r>
                      </w:p>
                      <w:p w:rsidR="00333D36" w:rsidRPr="00333D36" w:rsidRDefault="00333D36" w:rsidP="00333D36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схема электрическая соединений.</w:t>
                        </w:r>
                      </w:p>
                      <w:p w:rsidR="00333D36" w:rsidRPr="00333D36" w:rsidRDefault="00333D36" w:rsidP="00333D3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33D36" w:rsidRDefault="00333D36" w:rsidP="00333D36">
                        <w:pPr>
                          <w:tabs>
                            <w:tab w:val="left" w:pos="-1031"/>
                          </w:tabs>
                          <w:spacing w:before="100" w:beforeAutospacing="1" w:after="100" w:afterAutospacing="1" w:line="240" w:lineRule="auto"/>
                          <w:ind w:left="246" w:right="353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027B5D" w:rsidRPr="00333D36" w:rsidRDefault="00027B5D" w:rsidP="00333D36">
                        <w:pPr>
                          <w:tabs>
                            <w:tab w:val="left" w:pos="-1031"/>
                          </w:tabs>
                          <w:spacing w:before="100" w:beforeAutospacing="1" w:after="100" w:afterAutospacing="1" w:line="240" w:lineRule="auto"/>
                          <w:ind w:left="246" w:right="353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bookmarkStart w:id="0" w:name="t1"/>
                        <w:bookmarkEnd w:id="0"/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Таблица 1 </w:t>
                        </w:r>
                      </w:p>
                      <w:tbl>
                        <w:tblPr>
                          <w:tblW w:w="4093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shd w:val="clear" w:color="auto" w:fill="999999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96"/>
                          <w:gridCol w:w="2095"/>
                          <w:gridCol w:w="2100"/>
                          <w:gridCol w:w="2524"/>
                          <w:gridCol w:w="2380"/>
                          <w:gridCol w:w="1162"/>
                          <w:gridCol w:w="2805"/>
                        </w:tblGrid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Тип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РУНН</w:t>
                              </w:r>
                            </w:p>
                          </w:tc>
                          <w:tc>
                            <w:tcPr>
                              <w:tcW w:w="3343" w:type="pct"/>
                              <w:gridSpan w:val="5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Номинальный ток, А</w:t>
                              </w:r>
                            </w:p>
                          </w:tc>
                          <w:tc>
                            <w:tcPr>
                              <w:tcW w:w="928" w:type="pct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 xml:space="preserve">Масса </w:t>
                              </w:r>
                              <w:proofErr w:type="gramStart"/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кг</w:t>
                              </w:r>
                              <w:proofErr w:type="gramEnd"/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,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не более</w:t>
                              </w: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линии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№1</w:t>
                              </w: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линии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№2</w:t>
                              </w: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линии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№3</w:t>
                              </w: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линии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№4</w:t>
                              </w: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>линии</w:t>
                              </w: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освещения</w:t>
                              </w:r>
                            </w:p>
                          </w:tc>
                          <w:tc>
                            <w:tcPr>
                              <w:tcW w:w="928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РУНН-100</w:t>
                              </w: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928" w:type="pct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ind w:left="-377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150</w:t>
                              </w: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РУНН-160</w:t>
                              </w: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928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РУНН-250</w:t>
                              </w: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160</w:t>
                              </w: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250</w:t>
                              </w: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33D36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928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28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28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33D36" w:rsidRPr="00333D36" w:rsidTr="00333D36">
                          <w:trPr>
                            <w:tblCellSpacing w:w="0" w:type="dxa"/>
                          </w:trPr>
                          <w:tc>
                            <w:tcPr>
                              <w:tcW w:w="72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97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36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89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325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28" w:type="pct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333D36" w:rsidRPr="00333D36" w:rsidRDefault="00333D36" w:rsidP="00333D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333D36" w:rsidRPr="00333D36" w:rsidRDefault="00333D36" w:rsidP="00333D36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bookmarkStart w:id="1" w:name="r1"/>
                        <w:bookmarkEnd w:id="1"/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20"/>
                            <w:szCs w:val="20"/>
                            <w:lang w:eastAsia="ru-RU"/>
                          </w:rPr>
                          <w:t>Габаритные, установочные размеры РУНН</w:t>
                        </w:r>
                        <w:r w:rsidRPr="00333D3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noProof/>
                            <w:sz w:val="12"/>
                            <w:szCs w:val="12"/>
                            <w:lang w:eastAsia="ru-RU"/>
                          </w:rPr>
                          <w:drawing>
                            <wp:inline distT="0" distB="0" distL="0" distR="0" wp14:anchorId="270C4962" wp14:editId="1D680381">
                              <wp:extent cx="4171950" cy="2962275"/>
                              <wp:effectExtent l="0" t="0" r="0" b="9525"/>
                              <wp:docPr id="3" name="Рисунок 3" descr="http://www.energo.gomel.by/products_pictures/runn_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energo.gomel.by/products_pictures/runn_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71950" cy="2962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12"/>
                            <w:szCs w:val="12"/>
                            <w:lang w:eastAsia="ru-RU"/>
                          </w:rPr>
                          <w:t>Рисунок 1</w:t>
                        </w:r>
                      </w:p>
                      <w:p w:rsidR="00333D36" w:rsidRPr="00333D36" w:rsidRDefault="00333D36" w:rsidP="00333D36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br/>
                        </w:r>
                        <w:bookmarkStart w:id="2" w:name="r2"/>
                        <w:bookmarkEnd w:id="2"/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12"/>
                            <w:szCs w:val="12"/>
                            <w:lang w:eastAsia="ru-RU"/>
                          </w:rPr>
                          <w:t>Схемы электрические принципиальные </w:t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noProof/>
                            <w:sz w:val="12"/>
                            <w:szCs w:val="12"/>
                            <w:lang w:eastAsia="ru-RU"/>
                          </w:rPr>
                          <w:drawing>
                            <wp:inline distT="0" distB="0" distL="0" distR="0" wp14:anchorId="3A5B299B" wp14:editId="5657EC8F">
                              <wp:extent cx="4105275" cy="3857625"/>
                              <wp:effectExtent l="0" t="0" r="9525" b="9525"/>
                              <wp:docPr id="4" name="Рисунок 4" descr="http://www.energo.gomel.by/products_pictures/runn_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energo.gomel.by/products_pictures/runn_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05275" cy="385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12"/>
                            <w:szCs w:val="12"/>
                            <w:lang w:eastAsia="ru-RU"/>
                          </w:rPr>
                          <w:t>Рисунок 2</w:t>
                        </w:r>
                      </w:p>
                      <w:p w:rsidR="00333D36" w:rsidRPr="00333D36" w:rsidRDefault="00333D36" w:rsidP="00333D36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bookmarkStart w:id="3" w:name="r3"/>
                        <w:bookmarkEnd w:id="3"/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noProof/>
                            <w:sz w:val="12"/>
                            <w:szCs w:val="12"/>
                            <w:lang w:eastAsia="ru-RU"/>
                          </w:rPr>
                          <w:drawing>
                            <wp:inline distT="0" distB="0" distL="0" distR="0" wp14:anchorId="061B0E35" wp14:editId="56FCBC14">
                              <wp:extent cx="4572000" cy="3733800"/>
                              <wp:effectExtent l="0" t="0" r="0" b="0"/>
                              <wp:docPr id="5" name="Рисунок 5" descr="http://www.energo.gomel.by/products_pictures/runn_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energo.gomel.by/products_pictures/runn_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00" cy="373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</w:p>
                      <w:p w:rsidR="00333D36" w:rsidRPr="00333D36" w:rsidRDefault="00333D36" w:rsidP="00333D3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33D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666666"/>
                            <w:sz w:val="12"/>
                            <w:szCs w:val="12"/>
                            <w:lang w:eastAsia="ru-RU"/>
                          </w:rPr>
                          <w:t>Рисунок 3</w:t>
                        </w:r>
                      </w:p>
                    </w:tc>
                  </w:tr>
                </w:tbl>
                <w:p w:rsidR="00333D36" w:rsidRPr="00333D36" w:rsidRDefault="00333D36" w:rsidP="00333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</w:tbl>
          <w:p w:rsidR="00333D36" w:rsidRPr="00333D36" w:rsidRDefault="00333D36" w:rsidP="00333D3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</w:tbl>
    <w:p w:rsidR="008401B1" w:rsidRDefault="008401B1" w:rsidP="00027B5D"/>
    <w:sectPr w:rsidR="008401B1" w:rsidSect="00333D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96541"/>
    <w:multiLevelType w:val="multilevel"/>
    <w:tmpl w:val="5336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8F70B9"/>
    <w:multiLevelType w:val="multilevel"/>
    <w:tmpl w:val="6D54C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785B30"/>
    <w:multiLevelType w:val="multilevel"/>
    <w:tmpl w:val="28C2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36"/>
    <w:rsid w:val="00027B5D"/>
    <w:rsid w:val="00333D36"/>
    <w:rsid w:val="0084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.gomel.by/index.php?productID=12" TargetMode="External"/><Relationship Id="rId13" Type="http://schemas.openxmlformats.org/officeDocument/2006/relationships/image" Target="media/image4.gif"/><Relationship Id="rId3" Type="http://schemas.microsoft.com/office/2007/relationships/stylesWithEffects" Target="stylesWithEffects.xml"/><Relationship Id="rId7" Type="http://schemas.openxmlformats.org/officeDocument/2006/relationships/hyperlink" Target="http://www.energo.gomel.by/index.php?productID=12" TargetMode="External"/><Relationship Id="rId12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o.gomel.by/index.php?productID=12" TargetMode="Externa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www.energo.gomel.by/index.php?productID=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Русских Сергей Борисович</dc:creator>
  <cp:keywords/>
  <dc:description/>
  <cp:lastModifiedBy/>
  <cp:revision>1</cp:revision>
  <dcterms:created xsi:type="dcterms:W3CDTF">2013-06-27T13:14:00Z</dcterms:created>
</cp:coreProperties>
</file>