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Если Поставщик, получив уведомление, не исправит дефект(ы)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>, в том числе нести расходы, связанные с шеф-монтажом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шеф-монтажом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>До обращения в Арбитражный суд г.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>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 , слова  Выполнения работ, оказания услуг» из текста договора исключаются. Если закупочной документацией предусмотрены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шеф-монтаж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случае,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 xml:space="preserve">В случае,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4614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67746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D4614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0F91-E148-4F1B-A466-EBAA9F97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2014-05-16T06:49:00Z</dcterms:created>
  <dcterms:modified xsi:type="dcterms:W3CDTF">2014-05-16T06:49:00Z</dcterms:modified>
</cp:coreProperties>
</file>