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lastRenderedPageBreak/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</w:t>
      </w:r>
      <w:proofErr w:type="gramStart"/>
      <w:r w:rsidRPr="00B875BC">
        <w:t>до</w:t>
      </w:r>
      <w:proofErr w:type="gramEnd"/>
      <w:r w:rsidRPr="00B875BC">
        <w:t xml:space="preserve">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</w:t>
      </w:r>
      <w:proofErr w:type="gramStart"/>
      <w:r>
        <w:rPr>
          <w:i/>
        </w:rPr>
        <w:t>момент</w:t>
      </w:r>
      <w:proofErr w:type="gramEnd"/>
      <w:r>
        <w:rPr>
          <w:i/>
        </w:rPr>
        <w:t xml:space="preserve">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6251">
      <w:rPr>
        <w:rStyle w:val="ad"/>
        <w:noProof/>
      </w:rPr>
      <w:t>26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B53A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BD787F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EF6251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F558-2E24-426F-BD88-9F8DC7D5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6457</Words>
  <Characters>53911</Characters>
  <Application>Microsoft Office Word</Application>
  <DocSecurity>0</DocSecurity>
  <Lines>449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2013-08-08T08:39:00Z</dcterms:created>
  <dcterms:modified xsi:type="dcterms:W3CDTF">2013-08-08T08:39:00Z</dcterms:modified>
</cp:coreProperties>
</file>